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Title: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Question: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Hypothesis: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3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2208"/>
        <w:gridCol w:w="2058"/>
        <w:gridCol w:w="2058"/>
        <w:gridCol w:w="2058"/>
        <w:gridCol w:w="2058"/>
        <w:tblGridChange w:id="0">
          <w:tblGrid>
            <w:gridCol w:w="1908"/>
            <w:gridCol w:w="2208"/>
            <w:gridCol w:w="2058"/>
            <w:gridCol w:w="2058"/>
            <w:gridCol w:w="2058"/>
            <w:gridCol w:w="2058"/>
          </w:tblGrid>
        </w:tblGridChange>
      </w:tblGrid>
      <w:tr>
        <w:trPr>
          <w:trHeight w:val="94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Independent Variable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Change in independent variable: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Number of repeated trials: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Dependent Variable: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Constant variables: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Rule="auto"/>
        <w:ind w:left="2700" w:hanging="270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72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-720" w:right="-72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Adapted from 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Students and Research: Practical Strategies for Science Classrooms and Competitions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, 3rd Edition, by Cothron, Giese, &amp; Rezba. (2000). Kendall/Hunt Publishing.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jc w:val="center"/>
      <w:rPr>
        <w:rFonts w:ascii="Arial" w:cs="Arial" w:eastAsia="Arial" w:hAnsi="Arial"/>
        <w:b w:val="1"/>
        <w:sz w:val="48"/>
        <w:szCs w:val="48"/>
      </w:rPr>
    </w:pPr>
    <w:r w:rsidDel="00000000" w:rsidR="00000000" w:rsidRPr="00000000">
      <w:rPr>
        <w:rFonts w:ascii="Arial" w:cs="Arial" w:eastAsia="Arial" w:hAnsi="Arial"/>
        <w:b w:val="1"/>
        <w:sz w:val="48"/>
        <w:szCs w:val="48"/>
        <w:rtl w:val="0"/>
      </w:rPr>
      <w:t xml:space="preserve">Investigation Design Diagram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